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ALGORITHM</w:t>
      </w:r>
    </w:p>
    <w:p w:rsidR="00000000" w:rsidDel="00000000" w:rsidP="00000000" w:rsidRDefault="00000000" w:rsidRPr="00000000" w14:paraId="00000002">
      <w:pPr>
        <w:rPr/>
      </w:pPr>
      <w:r w:rsidDel="00000000" w:rsidR="00000000" w:rsidRPr="00000000">
        <w:rPr>
          <w:rtl w:val="0"/>
        </w:rPr>
        <w:t xml:space="preserve">The steps involved in building proposed model:</w:t>
      </w:r>
    </w:p>
    <w:p w:rsidR="00000000" w:rsidDel="00000000" w:rsidP="00000000" w:rsidRDefault="00000000" w:rsidRPr="00000000" w14:paraId="00000003">
      <w:pPr>
        <w:rPr/>
      </w:pPr>
      <w:r w:rsidDel="00000000" w:rsidR="00000000" w:rsidRPr="00000000">
        <w:rPr>
          <w:rtl w:val="0"/>
        </w:rPr>
        <w:t xml:space="preserve">1. Data Collection: Collect a large dataset that includes historical admission data, including</w:t>
      </w:r>
    </w:p>
    <w:p w:rsidR="00000000" w:rsidDel="00000000" w:rsidP="00000000" w:rsidRDefault="00000000" w:rsidRPr="00000000" w14:paraId="00000004">
      <w:pPr>
        <w:rPr/>
      </w:pPr>
      <w:r w:rsidDel="00000000" w:rsidR="00000000" w:rsidRPr="00000000">
        <w:rPr>
          <w:rtl w:val="0"/>
        </w:rPr>
        <w:t xml:space="preserve">student profiles such as PCM marks, and additional contextual factors such as race</w:t>
      </w:r>
    </w:p>
    <w:p w:rsidR="00000000" w:rsidDel="00000000" w:rsidP="00000000" w:rsidRDefault="00000000" w:rsidRPr="00000000" w14:paraId="00000005">
      <w:pPr>
        <w:rPr/>
      </w:pPr>
      <w:r w:rsidDel="00000000" w:rsidR="00000000" w:rsidRPr="00000000">
        <w:rPr>
          <w:rtl w:val="0"/>
        </w:rPr>
        <w:t xml:space="preserve">(caste).</w:t>
      </w:r>
    </w:p>
    <w:p w:rsidR="00000000" w:rsidDel="00000000" w:rsidP="00000000" w:rsidRDefault="00000000" w:rsidRPr="00000000" w14:paraId="00000006">
      <w:pPr>
        <w:rPr/>
      </w:pPr>
      <w:r w:rsidDel="00000000" w:rsidR="00000000" w:rsidRPr="00000000">
        <w:rPr>
          <w:rtl w:val="0"/>
        </w:rPr>
        <w:t xml:space="preserve">2. Data Preprocessing: Clean and process the data by removing duplicates, identifying</w:t>
      </w:r>
    </w:p>
    <w:p w:rsidR="00000000" w:rsidDel="00000000" w:rsidP="00000000" w:rsidRDefault="00000000" w:rsidRPr="00000000" w14:paraId="00000007">
      <w:pPr>
        <w:rPr/>
      </w:pPr>
      <w:r w:rsidDel="00000000" w:rsidR="00000000" w:rsidRPr="00000000">
        <w:rPr>
          <w:rtl w:val="0"/>
        </w:rPr>
        <w:t xml:space="preserve">missing values, and encoding categorical variables.</w:t>
      </w:r>
    </w:p>
    <w:p w:rsidR="00000000" w:rsidDel="00000000" w:rsidP="00000000" w:rsidRDefault="00000000" w:rsidRPr="00000000" w14:paraId="00000008">
      <w:pPr>
        <w:rPr/>
      </w:pPr>
      <w:r w:rsidDel="00000000" w:rsidR="00000000" w:rsidRPr="00000000">
        <w:rPr>
          <w:rtl w:val="0"/>
        </w:rPr>
        <w:t xml:space="preserve">3. Feature Selection: Identify the key predictors that could influence the admission decision.</w:t>
      </w:r>
    </w:p>
    <w:p w:rsidR="00000000" w:rsidDel="00000000" w:rsidP="00000000" w:rsidRDefault="00000000" w:rsidRPr="00000000" w14:paraId="00000009">
      <w:pPr>
        <w:rPr/>
      </w:pPr>
      <w:r w:rsidDel="00000000" w:rsidR="00000000" w:rsidRPr="00000000">
        <w:rPr>
          <w:rtl w:val="0"/>
        </w:rPr>
        <w:t xml:space="preserve">4. Model Building: Apply machine learning algorithms and techniques (such as decision</w:t>
      </w:r>
    </w:p>
    <w:p w:rsidR="00000000" w:rsidDel="00000000" w:rsidP="00000000" w:rsidRDefault="00000000" w:rsidRPr="00000000" w14:paraId="0000000A">
      <w:pPr>
        <w:rPr/>
      </w:pPr>
      <w:r w:rsidDel="00000000" w:rsidR="00000000" w:rsidRPr="00000000">
        <w:rPr>
          <w:rtl w:val="0"/>
        </w:rPr>
        <w:t xml:space="preserve">trees, support vector machines, neural networks, regression models, etc.) to predict the</w:t>
      </w:r>
    </w:p>
    <w:p w:rsidR="00000000" w:rsidDel="00000000" w:rsidP="00000000" w:rsidRDefault="00000000" w:rsidRPr="00000000" w14:paraId="0000000B">
      <w:pPr>
        <w:rPr/>
      </w:pPr>
      <w:r w:rsidDel="00000000" w:rsidR="00000000" w:rsidRPr="00000000">
        <w:rPr>
          <w:rtl w:val="0"/>
        </w:rPr>
        <w:t xml:space="preserve">likelihood of a student getting admission.</w:t>
      </w:r>
    </w:p>
    <w:p w:rsidR="00000000" w:rsidDel="00000000" w:rsidP="00000000" w:rsidRDefault="00000000" w:rsidRPr="00000000" w14:paraId="0000000C">
      <w:pPr>
        <w:rPr/>
      </w:pPr>
      <w:r w:rsidDel="00000000" w:rsidR="00000000" w:rsidRPr="00000000">
        <w:rPr>
          <w:rtl w:val="0"/>
        </w:rPr>
        <w:t xml:space="preserve">5. Model Evaluation: Using a set of historical data, evaluate the model's accuracy and adjust</w:t>
      </w:r>
    </w:p>
    <w:p w:rsidR="00000000" w:rsidDel="00000000" w:rsidP="00000000" w:rsidRDefault="00000000" w:rsidRPr="00000000" w14:paraId="0000000D">
      <w:pPr>
        <w:rPr/>
      </w:pPr>
      <w:r w:rsidDel="00000000" w:rsidR="00000000" w:rsidRPr="00000000">
        <w:rPr>
          <w:rtl w:val="0"/>
        </w:rPr>
        <w:t xml:space="preserve">it based on the feedback.</w:t>
      </w:r>
    </w:p>
    <w:p w:rsidR="00000000" w:rsidDel="00000000" w:rsidP="00000000" w:rsidRDefault="00000000" w:rsidRPr="00000000" w14:paraId="0000000E">
      <w:pPr>
        <w:rPr/>
      </w:pPr>
      <w:r w:rsidDel="00000000" w:rsidR="00000000" w:rsidRPr="00000000">
        <w:rPr>
          <w:rtl w:val="0"/>
        </w:rPr>
        <w:t xml:space="preserve">6. Deployment: Once the model is refined and accurate, deploy it using streamlit to provide</w:t>
      </w:r>
    </w:p>
    <w:p w:rsidR="00000000" w:rsidDel="00000000" w:rsidP="00000000" w:rsidRDefault="00000000" w:rsidRPr="00000000" w14:paraId="0000000F">
      <w:pPr>
        <w:rPr/>
      </w:pPr>
      <w:r w:rsidDel="00000000" w:rsidR="00000000" w:rsidRPr="00000000">
        <w:rPr>
          <w:rtl w:val="0"/>
        </w:rPr>
        <w:t xml:space="preserve">personalized recommendations to incoming applicants based on their academic profiles.</w:t>
      </w:r>
    </w:p>
    <w:p w:rsidR="00000000" w:rsidDel="00000000" w:rsidP="00000000" w:rsidRDefault="00000000" w:rsidRPr="00000000" w14:paraId="00000010">
      <w:pPr>
        <w:rPr/>
      </w:pPr>
      <w:r w:rsidDel="00000000" w:rsidR="00000000" w:rsidRPr="00000000">
        <w:rPr>
          <w:rtl w:val="0"/>
        </w:rPr>
        <w:t xml:space="preserve">7. Continuous Improvement: As new data becomes available, continue to refine the model</w:t>
      </w:r>
    </w:p>
    <w:p w:rsidR="00000000" w:rsidDel="00000000" w:rsidP="00000000" w:rsidRDefault="00000000" w:rsidRPr="00000000" w14:paraId="00000011">
      <w:pPr>
        <w:rPr/>
      </w:pPr>
      <w:r w:rsidDel="00000000" w:rsidR="00000000" w:rsidRPr="00000000">
        <w:rPr>
          <w:rtl w:val="0"/>
        </w:rPr>
        <w:t xml:space="preserve">to improve its accuracy and ability to predict admission outcomes.</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sz w:val="32"/>
          <w:szCs w:val="32"/>
          <w:u w:val="single"/>
        </w:rPr>
      </w:pPr>
      <w:r w:rsidDel="00000000" w:rsidR="00000000" w:rsidRPr="00000000">
        <w:rPr>
          <w:b w:val="1"/>
          <w:sz w:val="32"/>
          <w:szCs w:val="32"/>
          <w:u w:val="single"/>
          <w:rtl w:val="0"/>
        </w:rPr>
        <w:t xml:space="preserve">MULTIOUTPUT CLASSIFIER</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color w:val="404040"/>
          <w:sz w:val="33"/>
          <w:szCs w:val="33"/>
          <w:highlight w:val="white"/>
        </w:rPr>
      </w:pPr>
      <w:r w:rsidDel="00000000" w:rsidR="00000000" w:rsidRPr="00000000">
        <w:rPr>
          <w:color w:val="404040"/>
          <w:sz w:val="33"/>
          <w:szCs w:val="33"/>
          <w:highlight w:val="white"/>
          <w:rtl w:val="0"/>
        </w:rPr>
        <w:t xml:space="preserve">Multi-output classification is a type of machine learning that predicts multiple outputs simultaneously. In multi-output classification, the model will give two or more outputs after making any prediction. In other types of classifications, the model usually predicts only a single output.</w:t>
      </w:r>
    </w:p>
    <w:p w:rsidR="00000000" w:rsidDel="00000000" w:rsidP="00000000" w:rsidRDefault="00000000" w:rsidRPr="00000000" w14:paraId="00000016">
      <w:pPr>
        <w:rPr>
          <w:color w:val="404040"/>
          <w:sz w:val="33"/>
          <w:szCs w:val="33"/>
          <w:highlight w:val="white"/>
        </w:rPr>
      </w:pPr>
      <w:r w:rsidDel="00000000" w:rsidR="00000000" w:rsidRPr="00000000">
        <w:rPr>
          <w:rtl w:val="0"/>
        </w:rPr>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tl w:val="0"/>
        </w:rPr>
        <w:t xml:space="preserve">An example of a multi-output classification model is a model that predicts the </w:t>
      </w:r>
      <w:r w:rsidDel="00000000" w:rsidR="00000000" w:rsidRPr="00000000">
        <w:rPr>
          <w:rFonts w:ascii="Courier New" w:cs="Courier New" w:eastAsia="Courier New" w:hAnsi="Courier New"/>
          <w:color w:val="188038"/>
          <w:sz w:val="24"/>
          <w:szCs w:val="24"/>
          <w:highlight w:val="white"/>
          <w:rtl w:val="0"/>
        </w:rPr>
        <w:t xml:space="preserve">type</w:t>
      </w:r>
      <w:r w:rsidDel="00000000" w:rsidR="00000000" w:rsidRPr="00000000">
        <w:rPr>
          <w:color w:val="404040"/>
          <w:sz w:val="30"/>
          <w:szCs w:val="30"/>
          <w:highlight w:val="white"/>
          <w:rtl w:val="0"/>
        </w:rPr>
        <w:t xml:space="preserve"> and </w:t>
      </w:r>
      <w:r w:rsidDel="00000000" w:rsidR="00000000" w:rsidRPr="00000000">
        <w:rPr>
          <w:rFonts w:ascii="Courier New" w:cs="Courier New" w:eastAsia="Courier New" w:hAnsi="Courier New"/>
          <w:color w:val="188038"/>
          <w:sz w:val="24"/>
          <w:szCs w:val="24"/>
          <w:highlight w:val="white"/>
          <w:rtl w:val="0"/>
        </w:rPr>
        <w:t xml:space="preserve">color</w:t>
      </w:r>
      <w:r w:rsidDel="00000000" w:rsidR="00000000" w:rsidRPr="00000000">
        <w:rPr>
          <w:color w:val="404040"/>
          <w:sz w:val="30"/>
          <w:szCs w:val="30"/>
          <w:highlight w:val="white"/>
          <w:rtl w:val="0"/>
        </w:rPr>
        <w:t xml:space="preserve"> of fruit simultaneously. The </w:t>
      </w:r>
      <w:r w:rsidDel="00000000" w:rsidR="00000000" w:rsidRPr="00000000">
        <w:rPr>
          <w:rFonts w:ascii="Courier New" w:cs="Courier New" w:eastAsia="Courier New" w:hAnsi="Courier New"/>
          <w:color w:val="188038"/>
          <w:sz w:val="24"/>
          <w:szCs w:val="24"/>
          <w:highlight w:val="white"/>
          <w:rtl w:val="0"/>
        </w:rPr>
        <w:t xml:space="preserve">type of fruit</w:t>
      </w:r>
      <w:r w:rsidDel="00000000" w:rsidR="00000000" w:rsidRPr="00000000">
        <w:rPr>
          <w:color w:val="404040"/>
          <w:sz w:val="30"/>
          <w:szCs w:val="30"/>
          <w:highlight w:val="white"/>
          <w:rtl w:val="0"/>
        </w:rPr>
        <w:t xml:space="preserve"> can be, orange, mango and pineapple. The </w:t>
      </w:r>
      <w:r w:rsidDel="00000000" w:rsidR="00000000" w:rsidRPr="00000000">
        <w:rPr>
          <w:rFonts w:ascii="Courier New" w:cs="Courier New" w:eastAsia="Courier New" w:hAnsi="Courier New"/>
          <w:color w:val="188038"/>
          <w:sz w:val="24"/>
          <w:szCs w:val="24"/>
          <w:highlight w:val="white"/>
          <w:rtl w:val="0"/>
        </w:rPr>
        <w:t xml:space="preserve">color</w:t>
      </w:r>
      <w:r w:rsidDel="00000000" w:rsidR="00000000" w:rsidRPr="00000000">
        <w:rPr>
          <w:color w:val="404040"/>
          <w:sz w:val="30"/>
          <w:szCs w:val="30"/>
          <w:highlight w:val="white"/>
          <w:rtl w:val="0"/>
        </w:rPr>
        <w:t xml:space="preserve"> can be, red, green, yellow, and orange. The multi-output classification solves this problem and gives two prediction results.</w:t>
      </w:r>
    </w:p>
    <w:p w:rsidR="00000000" w:rsidDel="00000000" w:rsidP="00000000" w:rsidRDefault="00000000" w:rsidRPr="00000000" w14:paraId="00000018">
      <w:pPr>
        <w:rPr>
          <w:color w:val="404040"/>
          <w:sz w:val="33"/>
          <w:szCs w:val="33"/>
          <w:highlight w:val="white"/>
        </w:rPr>
      </w:pPr>
      <w:r w:rsidDel="00000000" w:rsidR="00000000" w:rsidRPr="00000000">
        <w:rPr>
          <w:rtl w:val="0"/>
        </w:rPr>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tl w:val="0"/>
        </w:rPr>
        <w:t xml:space="preserve">In this tutorial, we will build a multi-output classification model using the tnea dataset. The model will classify the college code This will be the first output. The model will also classify the branch code as AI, The rating will be the second output. We will use Scikit-Learn </w:t>
      </w:r>
      <w:r w:rsidDel="00000000" w:rsidR="00000000" w:rsidRPr="00000000">
        <w:rPr>
          <w:rFonts w:ascii="Courier New" w:cs="Courier New" w:eastAsia="Courier New" w:hAnsi="Courier New"/>
          <w:color w:val="188038"/>
          <w:sz w:val="24"/>
          <w:szCs w:val="24"/>
          <w:highlight w:val="white"/>
          <w:rtl w:val="0"/>
        </w:rPr>
        <w:t xml:space="preserve">MultiOutputClassifier</w:t>
      </w:r>
      <w:r w:rsidDel="00000000" w:rsidR="00000000" w:rsidRPr="00000000">
        <w:rPr>
          <w:color w:val="404040"/>
          <w:sz w:val="30"/>
          <w:szCs w:val="30"/>
          <w:highlight w:val="white"/>
          <w:rtl w:val="0"/>
        </w:rPr>
        <w:t xml:space="preserve"> algorithm to build this model.</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rtl w:val="0"/>
        </w:rPr>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Pr>
        <w:drawing>
          <wp:inline distB="114300" distT="114300" distL="114300" distR="114300">
            <wp:extent cx="5731200" cy="3009900"/>
            <wp:effectExtent b="0" l="0" r="0" t="0"/>
            <wp:docPr id="1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Pr>
        <w:drawing>
          <wp:inline distB="114300" distT="114300" distL="114300" distR="114300">
            <wp:extent cx="5731200" cy="914400"/>
            <wp:effectExtent b="0" l="0" r="0" t="0"/>
            <wp:docPr id="2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tl w:val="0"/>
        </w:rPr>
        <w:t xml:space="preserve">We used the </w:t>
      </w:r>
      <w:r w:rsidDel="00000000" w:rsidR="00000000" w:rsidRPr="00000000">
        <w:rPr>
          <w:rFonts w:ascii="Courier New" w:cs="Courier New" w:eastAsia="Courier New" w:hAnsi="Courier New"/>
          <w:color w:val="404040"/>
          <w:sz w:val="24"/>
          <w:szCs w:val="24"/>
          <w:highlight w:val="white"/>
          <w:rtl w:val="0"/>
        </w:rPr>
        <w:t xml:space="preserve">DecisionTreeClassifier </w:t>
      </w:r>
      <w:r w:rsidDel="00000000" w:rsidR="00000000" w:rsidRPr="00000000">
        <w:rPr>
          <w:color w:val="404040"/>
          <w:sz w:val="30"/>
          <w:szCs w:val="30"/>
          <w:highlight w:val="white"/>
          <w:rtl w:val="0"/>
        </w:rPr>
        <w:t xml:space="preserve"> and </w:t>
      </w:r>
      <w:r w:rsidDel="00000000" w:rsidR="00000000" w:rsidRPr="00000000">
        <w:rPr>
          <w:rFonts w:ascii="Courier New" w:cs="Courier New" w:eastAsia="Courier New" w:hAnsi="Courier New"/>
          <w:color w:val="404040"/>
          <w:sz w:val="24"/>
          <w:szCs w:val="24"/>
          <w:highlight w:val="white"/>
          <w:rtl w:val="0"/>
        </w:rPr>
        <w:t xml:space="preserve">MultiOutputClassifier</w:t>
      </w:r>
      <w:r w:rsidDel="00000000" w:rsidR="00000000" w:rsidRPr="00000000">
        <w:rPr>
          <w:color w:val="404040"/>
          <w:sz w:val="30"/>
          <w:szCs w:val="30"/>
          <w:highlight w:val="white"/>
          <w:rtl w:val="0"/>
        </w:rPr>
        <w:t xml:space="preserve"> algorithms to train the model. </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Pr>
        <w:drawing>
          <wp:inline distB="114300" distT="114300" distL="114300" distR="114300">
            <wp:extent cx="5731200" cy="1993900"/>
            <wp:effectExtent b="0" l="0" r="0" t="0"/>
            <wp:docPr id="37"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Pr>
        <w:drawing>
          <wp:inline distB="114300" distT="114300" distL="114300" distR="114300">
            <wp:extent cx="5731200" cy="1168400"/>
            <wp:effectExtent b="0" l="0" r="0" t="0"/>
            <wp:docPr id="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Pr>
        <w:drawing>
          <wp:inline distB="114300" distT="114300" distL="114300" distR="114300">
            <wp:extent cx="5731200" cy="220980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Pr>
        <w:drawing>
          <wp:inline distB="114300" distT="114300" distL="114300" distR="114300">
            <wp:extent cx="5731200" cy="26924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Pr>
        <w:drawing>
          <wp:inline distB="114300" distT="114300" distL="114300" distR="114300">
            <wp:extent cx="5731200" cy="1295400"/>
            <wp:effectExtent b="0" l="0" r="0" t="0"/>
            <wp:docPr id="2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Pr>
        <w:drawing>
          <wp:inline distB="114300" distT="114300" distL="114300" distR="114300">
            <wp:extent cx="5731200" cy="3225800"/>
            <wp:effectExtent b="0" l="0" r="0" 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Pr>
        <w:drawing>
          <wp:inline distB="114300" distT="114300" distL="114300" distR="114300">
            <wp:extent cx="5731200" cy="3225800"/>
            <wp:effectExtent b="0" l="0" r="0" t="0"/>
            <wp:docPr id="4"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tl w:val="0"/>
        </w:rPr>
        <w:t xml:space="preserve">If training dta is changed, whole decision tree changes. Highly sensitive to training data.</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600" w:line="360" w:lineRule="auto"/>
        <w:rPr>
          <w:color w:val="404040"/>
          <w:sz w:val="30"/>
          <w:szCs w:val="30"/>
          <w:highlight w:val="white"/>
        </w:rPr>
      </w:pPr>
      <w:r w:rsidDel="00000000" w:rsidR="00000000" w:rsidRPr="00000000">
        <w:rPr>
          <w:color w:val="404040"/>
          <w:sz w:val="30"/>
          <w:szCs w:val="30"/>
          <w:highlight w:val="white"/>
        </w:rPr>
        <w:drawing>
          <wp:inline distB="114300" distT="114300" distL="114300" distR="114300">
            <wp:extent cx="5731200" cy="3225800"/>
            <wp:effectExtent b="0" l="0" r="0" t="0"/>
            <wp:docPr id="24"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color w:val="404040"/>
          <w:sz w:val="33"/>
          <w:szCs w:val="33"/>
          <w:highlight w:val="white"/>
        </w:rPr>
      </w:pPr>
      <w:r w:rsidDel="00000000" w:rsidR="00000000" w:rsidRPr="00000000">
        <w:rPr>
          <w:rtl w:val="0"/>
        </w:rPr>
      </w:r>
    </w:p>
    <w:p w:rsidR="00000000" w:rsidDel="00000000" w:rsidP="00000000" w:rsidRDefault="00000000" w:rsidRPr="00000000" w14:paraId="00000028">
      <w:pPr>
        <w:rPr>
          <w:color w:val="404040"/>
          <w:sz w:val="33"/>
          <w:szCs w:val="33"/>
          <w:highlight w:val="white"/>
        </w:rPr>
      </w:pPr>
      <w:r w:rsidDel="00000000" w:rsidR="00000000" w:rsidRPr="00000000">
        <w:rPr>
          <w:color w:val="404040"/>
          <w:sz w:val="33"/>
          <w:szCs w:val="33"/>
          <w:highlight w:val="white"/>
          <w:rtl w:val="0"/>
        </w:rPr>
        <w:t xml:space="preserve">RANDOM FOREST</w:t>
        <w:br w:type="textWrapping"/>
      </w:r>
      <w:r w:rsidDel="00000000" w:rsidR="00000000" w:rsidRPr="00000000">
        <w:rPr>
          <w:color w:val="404040"/>
          <w:sz w:val="33"/>
          <w:szCs w:val="33"/>
          <w:highlight w:val="white"/>
        </w:rPr>
        <w:drawing>
          <wp:inline distB="114300" distT="114300" distL="114300" distR="114300">
            <wp:extent cx="5731200" cy="3225800"/>
            <wp:effectExtent b="0" l="0" r="0" t="0"/>
            <wp:docPr id="35"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1"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43"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1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42"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34"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1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30"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1460500"/>
            <wp:effectExtent b="0" l="0" r="0" t="0"/>
            <wp:docPr id="3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1066800"/>
            <wp:effectExtent b="0" l="0" r="0" t="0"/>
            <wp:docPr id="28"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1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38"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40"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17"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1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32"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20"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2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9"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11"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2032000"/>
            <wp:effectExtent b="0" l="0" r="0" t="0"/>
            <wp:docPr id="31"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23"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22"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15"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33"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18"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25" name="image21.png"/>
            <a:graphic>
              <a:graphicData uri="http://schemas.openxmlformats.org/drawingml/2006/picture">
                <pic:pic>
                  <pic:nvPicPr>
                    <pic:cNvPr id="0" name="image21.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29"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36"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color w:val="404040"/>
          <w:sz w:val="33"/>
          <w:szCs w:val="33"/>
          <w:highlight w:val="white"/>
        </w:rPr>
      </w:pPr>
      <w:r w:rsidDel="00000000" w:rsidR="00000000" w:rsidRPr="00000000">
        <w:rPr>
          <w:color w:val="404040"/>
          <w:sz w:val="33"/>
          <w:szCs w:val="33"/>
          <w:highlight w:val="white"/>
        </w:rPr>
        <w:drawing>
          <wp:inline distB="114300" distT="114300" distL="114300" distR="114300">
            <wp:extent cx="5731200" cy="3225800"/>
            <wp:effectExtent b="0" l="0" r="0" t="0"/>
            <wp:docPr id="41"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11.png"/><Relationship Id="rId42" Type="http://schemas.openxmlformats.org/officeDocument/2006/relationships/image" Target="media/image14.png"/><Relationship Id="rId41" Type="http://schemas.openxmlformats.org/officeDocument/2006/relationships/image" Target="media/image6.png"/><Relationship Id="rId22" Type="http://schemas.openxmlformats.org/officeDocument/2006/relationships/image" Target="media/image41.png"/><Relationship Id="rId44" Type="http://schemas.openxmlformats.org/officeDocument/2006/relationships/image" Target="media/image35.png"/><Relationship Id="rId21" Type="http://schemas.openxmlformats.org/officeDocument/2006/relationships/image" Target="media/image32.png"/><Relationship Id="rId43" Type="http://schemas.openxmlformats.org/officeDocument/2006/relationships/image" Target="media/image26.png"/><Relationship Id="rId24" Type="http://schemas.openxmlformats.org/officeDocument/2006/relationships/image" Target="media/image24.png"/><Relationship Id="rId46" Type="http://schemas.openxmlformats.org/officeDocument/2006/relationships/image" Target="media/image38.png"/><Relationship Id="rId23" Type="http://schemas.openxmlformats.org/officeDocument/2006/relationships/image" Target="media/image15.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3.png"/><Relationship Id="rId48" Type="http://schemas.openxmlformats.org/officeDocument/2006/relationships/image" Target="media/image29.png"/><Relationship Id="rId25" Type="http://schemas.openxmlformats.org/officeDocument/2006/relationships/image" Target="media/image28.png"/><Relationship Id="rId47" Type="http://schemas.openxmlformats.org/officeDocument/2006/relationships/image" Target="media/image39.png"/><Relationship Id="rId28" Type="http://schemas.openxmlformats.org/officeDocument/2006/relationships/image" Target="media/image30.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31.png"/><Relationship Id="rId7" Type="http://schemas.openxmlformats.org/officeDocument/2006/relationships/image" Target="media/image19.png"/><Relationship Id="rId8" Type="http://schemas.openxmlformats.org/officeDocument/2006/relationships/image" Target="media/image40.png"/><Relationship Id="rId31" Type="http://schemas.openxmlformats.org/officeDocument/2006/relationships/image" Target="media/image3.png"/><Relationship Id="rId30" Type="http://schemas.openxmlformats.org/officeDocument/2006/relationships/image" Target="media/image4.png"/><Relationship Id="rId11" Type="http://schemas.openxmlformats.org/officeDocument/2006/relationships/image" Target="media/image7.png"/><Relationship Id="rId33" Type="http://schemas.openxmlformats.org/officeDocument/2006/relationships/image" Target="media/image36.png"/><Relationship Id="rId10" Type="http://schemas.openxmlformats.org/officeDocument/2006/relationships/image" Target="media/image1.png"/><Relationship Id="rId32" Type="http://schemas.openxmlformats.org/officeDocument/2006/relationships/image" Target="media/image42.png"/><Relationship Id="rId13" Type="http://schemas.openxmlformats.org/officeDocument/2006/relationships/image" Target="media/image12.png"/><Relationship Id="rId35" Type="http://schemas.openxmlformats.org/officeDocument/2006/relationships/image" Target="media/image8.png"/><Relationship Id="rId12" Type="http://schemas.openxmlformats.org/officeDocument/2006/relationships/image" Target="media/image16.png"/><Relationship Id="rId34" Type="http://schemas.openxmlformats.org/officeDocument/2006/relationships/image" Target="media/image25.png"/><Relationship Id="rId15" Type="http://schemas.openxmlformats.org/officeDocument/2006/relationships/image" Target="media/image37.png"/><Relationship Id="rId37" Type="http://schemas.openxmlformats.org/officeDocument/2006/relationships/image" Target="media/image34.png"/><Relationship Id="rId14" Type="http://schemas.openxmlformats.org/officeDocument/2006/relationships/image" Target="media/image43.png"/><Relationship Id="rId36" Type="http://schemas.openxmlformats.org/officeDocument/2006/relationships/image" Target="media/image17.png"/><Relationship Id="rId17" Type="http://schemas.openxmlformats.org/officeDocument/2006/relationships/image" Target="media/image2.png"/><Relationship Id="rId39" Type="http://schemas.openxmlformats.org/officeDocument/2006/relationships/image" Target="media/image22.png"/><Relationship Id="rId16" Type="http://schemas.openxmlformats.org/officeDocument/2006/relationships/image" Target="media/image27.png"/><Relationship Id="rId38" Type="http://schemas.openxmlformats.org/officeDocument/2006/relationships/image" Target="media/image18.png"/><Relationship Id="rId19" Type="http://schemas.openxmlformats.org/officeDocument/2006/relationships/image" Target="media/image20.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